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109B" w:rsidRDefault="00EF0DA7">
      <w:pPr>
        <w:widowControl/>
        <w:spacing w:line="360" w:lineRule="auto"/>
        <w:jc w:val="left"/>
        <w:rPr>
          <w:rFonts w:ascii="Times New Roman" w:hAnsi="Times New Roman"/>
          <w:bCs/>
          <w:sz w:val="24"/>
          <w:szCs w:val="24"/>
        </w:rPr>
      </w:pPr>
      <w:bookmarkStart w:id="0" w:name="_GoBack"/>
      <w:bookmarkEnd w:id="0"/>
      <w:r w:rsidRPr="00C6664F">
        <w:rPr>
          <w:rFonts w:ascii="Times New Roman" w:hAnsi="Times New Roman"/>
          <w:b/>
          <w:bCs/>
          <w:sz w:val="24"/>
          <w:szCs w:val="24"/>
        </w:rPr>
        <w:t xml:space="preserve">Figure </w:t>
      </w:r>
      <w:r w:rsidR="00462EFE">
        <w:rPr>
          <w:rFonts w:ascii="Times New Roman" w:hAnsi="Times New Roman" w:hint="eastAsia"/>
          <w:b/>
          <w:bCs/>
          <w:sz w:val="24"/>
          <w:szCs w:val="24"/>
        </w:rPr>
        <w:t>S</w:t>
      </w:r>
      <w:r w:rsidRPr="00C6664F">
        <w:rPr>
          <w:rFonts w:ascii="Times New Roman" w:hAnsi="Times New Roman" w:hint="eastAsia"/>
          <w:b/>
          <w:bCs/>
          <w:sz w:val="24"/>
          <w:szCs w:val="24"/>
        </w:rPr>
        <w:t>1</w:t>
      </w:r>
      <w:r w:rsidRPr="00C6664F">
        <w:rPr>
          <w:rFonts w:ascii="Times New Roman" w:hAnsi="Times New Roman"/>
          <w:b/>
          <w:bCs/>
          <w:sz w:val="24"/>
          <w:szCs w:val="24"/>
        </w:rPr>
        <w:t>. Funnel plots</w:t>
      </w:r>
      <w:r w:rsidR="00C6664F" w:rsidRPr="00C6664F">
        <w:rPr>
          <w:rFonts w:ascii="Times New Roman" w:hAnsi="Times New Roman" w:hint="eastAsia"/>
          <w:b/>
          <w:bCs/>
          <w:sz w:val="24"/>
          <w:szCs w:val="24"/>
        </w:rPr>
        <w:t>.</w:t>
      </w:r>
      <w:r w:rsidRPr="00C6664F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gramStart"/>
      <w:r w:rsidR="00C6664F" w:rsidRPr="00C6664F">
        <w:rPr>
          <w:rFonts w:ascii="Times New Roman" w:hAnsi="Times New Roman" w:hint="eastAsia"/>
          <w:bCs/>
          <w:sz w:val="24"/>
          <w:szCs w:val="24"/>
        </w:rPr>
        <w:t xml:space="preserve">Funnel plots </w:t>
      </w:r>
      <w:r w:rsidRPr="00C6664F">
        <w:rPr>
          <w:rFonts w:ascii="Times New Roman" w:hAnsi="Times New Roman"/>
          <w:bCs/>
          <w:sz w:val="24"/>
          <w:szCs w:val="24"/>
        </w:rPr>
        <w:t>o</w:t>
      </w:r>
      <w:r>
        <w:rPr>
          <w:rFonts w:ascii="Times New Roman" w:hAnsi="Times New Roman"/>
          <w:bCs/>
          <w:sz w:val="24"/>
          <w:szCs w:val="24"/>
        </w:rPr>
        <w:t xml:space="preserve">f </w:t>
      </w:r>
      <w:r w:rsidR="001B58B6">
        <w:rPr>
          <w:rFonts w:ascii="Times New Roman" w:hAnsi="Times New Roman" w:hint="eastAsia"/>
          <w:bCs/>
          <w:sz w:val="24"/>
          <w:szCs w:val="24"/>
        </w:rPr>
        <w:t xml:space="preserve">the </w:t>
      </w:r>
      <w:r>
        <w:rPr>
          <w:rFonts w:ascii="Times New Roman" w:hAnsi="Times New Roman"/>
          <w:bCs/>
          <w:sz w:val="24"/>
          <w:szCs w:val="24"/>
        </w:rPr>
        <w:t xml:space="preserve">incidence of CM and all-cause mortality </w:t>
      </w:r>
      <w:r w:rsidR="001B58B6">
        <w:rPr>
          <w:rFonts w:ascii="Times New Roman" w:hAnsi="Times New Roman" w:hint="eastAsia"/>
          <w:bCs/>
          <w:sz w:val="24"/>
          <w:szCs w:val="24"/>
        </w:rPr>
        <w:t>among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CrAg</w:t>
      </w:r>
      <w:proofErr w:type="spellEnd"/>
      <w:r>
        <w:rPr>
          <w:rFonts w:ascii="Times New Roman" w:hAnsi="Times New Roman"/>
          <w:bCs/>
          <w:sz w:val="24"/>
          <w:szCs w:val="24"/>
        </w:rPr>
        <w:t>+ patients with CD4&lt;200 cells/µL.</w:t>
      </w:r>
      <w:proofErr w:type="gramEnd"/>
      <w:r>
        <w:rPr>
          <w:rFonts w:ascii="Times New Roman" w:hAnsi="Times New Roman"/>
          <w:bCs/>
          <w:sz w:val="24"/>
          <w:szCs w:val="24"/>
        </w:rPr>
        <w:t xml:space="preserve"> </w:t>
      </w:r>
    </w:p>
    <w:p w:rsidR="0037109B" w:rsidRDefault="0037109B">
      <w:pPr>
        <w:widowControl/>
        <w:spacing w:line="360" w:lineRule="auto"/>
        <w:jc w:val="left"/>
        <w:rPr>
          <w:rFonts w:ascii="Times New Roman" w:hAnsi="Times New Roman"/>
          <w:bCs/>
          <w:sz w:val="24"/>
          <w:szCs w:val="24"/>
        </w:rPr>
      </w:pPr>
    </w:p>
    <w:p w:rsidR="00462EFE" w:rsidRDefault="00EF0DA7" w:rsidP="00462EFE">
      <w:pPr>
        <w:widowControl/>
        <w:spacing w:after="240"/>
        <w:jc w:val="left"/>
        <w:rPr>
          <w:rFonts w:ascii="Times New Roman" w:hAnsi="Times New Roman"/>
          <w:bCs/>
          <w:sz w:val="24"/>
          <w:szCs w:val="24"/>
        </w:rPr>
      </w:pPr>
      <w:r w:rsidRPr="00462EFE">
        <w:rPr>
          <w:rFonts w:ascii="Times New Roman" w:hAnsi="Times New Roman"/>
          <w:b/>
          <w:bCs/>
          <w:sz w:val="24"/>
          <w:szCs w:val="24"/>
        </w:rPr>
        <w:t xml:space="preserve">Table </w:t>
      </w:r>
      <w:r w:rsidR="00462EFE" w:rsidRPr="00462EFE">
        <w:rPr>
          <w:rFonts w:ascii="Times New Roman" w:hAnsi="Times New Roman" w:hint="eastAsia"/>
          <w:b/>
          <w:bCs/>
          <w:sz w:val="24"/>
          <w:szCs w:val="24"/>
        </w:rPr>
        <w:t>S</w:t>
      </w:r>
      <w:r w:rsidRPr="00462EFE">
        <w:rPr>
          <w:rFonts w:ascii="Times New Roman" w:hAnsi="Times New Roman"/>
          <w:b/>
          <w:bCs/>
          <w:sz w:val="24"/>
          <w:szCs w:val="24"/>
        </w:rPr>
        <w:t xml:space="preserve">1. </w:t>
      </w:r>
      <w:r>
        <w:rPr>
          <w:rFonts w:ascii="Times New Roman" w:hAnsi="Times New Roman"/>
          <w:bCs/>
          <w:sz w:val="24"/>
          <w:szCs w:val="24"/>
        </w:rPr>
        <w:t xml:space="preserve">Quality assessment of </w:t>
      </w:r>
      <w:r w:rsidR="001B58B6">
        <w:rPr>
          <w:rFonts w:ascii="Times New Roman" w:hAnsi="Times New Roman" w:hint="eastAsia"/>
          <w:bCs/>
          <w:sz w:val="24"/>
          <w:szCs w:val="24"/>
        </w:rPr>
        <w:t xml:space="preserve">17 </w:t>
      </w:r>
      <w:r>
        <w:rPr>
          <w:rFonts w:ascii="Times New Roman" w:hAnsi="Times New Roman"/>
          <w:bCs/>
          <w:sz w:val="24"/>
          <w:szCs w:val="24"/>
        </w:rPr>
        <w:t>included studies by using the JBI Critical Appraisal Checklist for Cohort Studies.</w:t>
      </w:r>
    </w:p>
    <w:p w:rsidR="0037109B" w:rsidRDefault="00D21051" w:rsidP="00462EFE">
      <w:pPr>
        <w:widowControl/>
        <w:spacing w:after="240"/>
        <w:jc w:val="left"/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inline distT="0" distB="0" distL="0" distR="0">
            <wp:extent cx="5917565" cy="2380615"/>
            <wp:effectExtent l="19050" t="0" r="6985" b="0"/>
            <wp:docPr id="1" name="图片 6" descr="图5 fixed 漏斗图 incidence of CM and mortality CD4小于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 descr="图5 fixed 漏斗图 incidence of CM and mortality CD4小于200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7738" t="3752" r="4274" b="190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7565" cy="2380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2EFE" w:rsidRDefault="00462EFE" w:rsidP="00462EFE">
      <w:pPr>
        <w:widowControl/>
        <w:spacing w:line="360" w:lineRule="auto"/>
        <w:jc w:val="left"/>
        <w:rPr>
          <w:rFonts w:ascii="Times New Roman" w:hAnsi="Times New Roman"/>
          <w:bCs/>
          <w:sz w:val="24"/>
          <w:szCs w:val="24"/>
        </w:rPr>
      </w:pPr>
      <w:r w:rsidRPr="00C6664F">
        <w:rPr>
          <w:rFonts w:ascii="Times New Roman" w:hAnsi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hint="eastAsia"/>
          <w:b/>
          <w:bCs/>
          <w:sz w:val="24"/>
          <w:szCs w:val="24"/>
        </w:rPr>
        <w:t>S</w:t>
      </w:r>
      <w:r w:rsidRPr="00C6664F">
        <w:rPr>
          <w:rFonts w:ascii="Times New Roman" w:hAnsi="Times New Roman" w:hint="eastAsia"/>
          <w:b/>
          <w:bCs/>
          <w:sz w:val="24"/>
          <w:szCs w:val="24"/>
        </w:rPr>
        <w:t>1</w:t>
      </w:r>
      <w:r w:rsidRPr="00C6664F">
        <w:rPr>
          <w:rFonts w:ascii="Times New Roman" w:hAnsi="Times New Roman"/>
          <w:b/>
          <w:bCs/>
          <w:sz w:val="24"/>
          <w:szCs w:val="24"/>
        </w:rPr>
        <w:t>. Funnel plots</w:t>
      </w:r>
      <w:r w:rsidRPr="00C6664F">
        <w:rPr>
          <w:rFonts w:ascii="Times New Roman" w:hAnsi="Times New Roman" w:hint="eastAsia"/>
          <w:b/>
          <w:bCs/>
          <w:sz w:val="24"/>
          <w:szCs w:val="24"/>
        </w:rPr>
        <w:t>.</w:t>
      </w:r>
      <w:r w:rsidRPr="00C6664F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gramStart"/>
      <w:r w:rsidRPr="00C6664F">
        <w:rPr>
          <w:rFonts w:ascii="Times New Roman" w:hAnsi="Times New Roman" w:hint="eastAsia"/>
          <w:bCs/>
          <w:sz w:val="24"/>
          <w:szCs w:val="24"/>
        </w:rPr>
        <w:t xml:space="preserve">Funnel plots </w:t>
      </w:r>
      <w:r w:rsidRPr="00C6664F">
        <w:rPr>
          <w:rFonts w:ascii="Times New Roman" w:hAnsi="Times New Roman"/>
          <w:bCs/>
          <w:sz w:val="24"/>
          <w:szCs w:val="24"/>
        </w:rPr>
        <w:t>o</w:t>
      </w:r>
      <w:r>
        <w:rPr>
          <w:rFonts w:ascii="Times New Roman" w:hAnsi="Times New Roman"/>
          <w:bCs/>
          <w:sz w:val="24"/>
          <w:szCs w:val="24"/>
        </w:rPr>
        <w:t xml:space="preserve">f </w:t>
      </w:r>
      <w:r>
        <w:rPr>
          <w:rFonts w:ascii="Times New Roman" w:hAnsi="Times New Roman" w:hint="eastAsia"/>
          <w:bCs/>
          <w:sz w:val="24"/>
          <w:szCs w:val="24"/>
        </w:rPr>
        <w:t xml:space="preserve">the </w:t>
      </w:r>
      <w:r>
        <w:rPr>
          <w:rFonts w:ascii="Times New Roman" w:hAnsi="Times New Roman"/>
          <w:bCs/>
          <w:sz w:val="24"/>
          <w:szCs w:val="24"/>
        </w:rPr>
        <w:t xml:space="preserve">incidence of CM and all-cause mortality </w:t>
      </w:r>
      <w:r>
        <w:rPr>
          <w:rFonts w:ascii="Times New Roman" w:hAnsi="Times New Roman" w:hint="eastAsia"/>
          <w:bCs/>
          <w:sz w:val="24"/>
          <w:szCs w:val="24"/>
        </w:rPr>
        <w:t>among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CrAg</w:t>
      </w:r>
      <w:proofErr w:type="spellEnd"/>
      <w:r>
        <w:rPr>
          <w:rFonts w:ascii="Times New Roman" w:hAnsi="Times New Roman"/>
          <w:bCs/>
          <w:sz w:val="24"/>
          <w:szCs w:val="24"/>
        </w:rPr>
        <w:t>+ patients with CD4&lt;200 cells/µL.</w:t>
      </w:r>
      <w:proofErr w:type="gramEnd"/>
      <w:r>
        <w:rPr>
          <w:rFonts w:ascii="Times New Roman" w:hAnsi="Times New Roman"/>
          <w:bCs/>
          <w:sz w:val="24"/>
          <w:szCs w:val="24"/>
        </w:rPr>
        <w:t xml:space="preserve"> </w:t>
      </w:r>
    </w:p>
    <w:p w:rsidR="00462EFE" w:rsidRDefault="00462EFE">
      <w:pPr>
        <w:widowControl/>
        <w:spacing w:after="240"/>
        <w:jc w:val="left"/>
        <w:rPr>
          <w:rFonts w:ascii="Times New Roman" w:hAnsi="Times New Roman"/>
          <w:sz w:val="24"/>
          <w:szCs w:val="24"/>
        </w:rPr>
      </w:pPr>
    </w:p>
    <w:p w:rsidR="00462EFE" w:rsidRDefault="00462EFE">
      <w:pPr>
        <w:widowControl/>
        <w:spacing w:after="240"/>
        <w:jc w:val="left"/>
        <w:rPr>
          <w:rFonts w:ascii="Times New Roman" w:hAnsi="Times New Roman"/>
          <w:sz w:val="24"/>
          <w:szCs w:val="24"/>
        </w:rPr>
      </w:pPr>
    </w:p>
    <w:p w:rsidR="00462EFE" w:rsidRDefault="00462EFE">
      <w:pPr>
        <w:widowControl/>
        <w:spacing w:after="240"/>
        <w:jc w:val="left"/>
        <w:rPr>
          <w:rFonts w:ascii="Times New Roman" w:hAnsi="Times New Roman"/>
          <w:sz w:val="24"/>
          <w:szCs w:val="24"/>
        </w:rPr>
      </w:pPr>
    </w:p>
    <w:p w:rsidR="00462EFE" w:rsidRDefault="00462EFE">
      <w:pPr>
        <w:widowControl/>
        <w:spacing w:after="240"/>
        <w:jc w:val="left"/>
        <w:rPr>
          <w:rFonts w:ascii="Times New Roman" w:hAnsi="Times New Roman"/>
          <w:sz w:val="24"/>
          <w:szCs w:val="24"/>
        </w:rPr>
      </w:pPr>
    </w:p>
    <w:p w:rsidR="0037109B" w:rsidRDefault="00EF0DA7">
      <w:pPr>
        <w:widowControl/>
        <w:spacing w:after="240"/>
        <w:jc w:val="left"/>
        <w:rPr>
          <w:rFonts w:ascii="Times New Roman" w:hAnsi="Times New Roman"/>
          <w:sz w:val="24"/>
          <w:szCs w:val="24"/>
        </w:rPr>
      </w:pPr>
      <w:r w:rsidRPr="00462EFE">
        <w:rPr>
          <w:rFonts w:ascii="Times New Roman" w:hAnsi="Times New Roman"/>
          <w:b/>
          <w:sz w:val="24"/>
          <w:szCs w:val="24"/>
        </w:rPr>
        <w:lastRenderedPageBreak/>
        <w:t xml:space="preserve">Table </w:t>
      </w:r>
      <w:r w:rsidR="00462EFE">
        <w:rPr>
          <w:rFonts w:ascii="Times New Roman" w:hAnsi="Times New Roman" w:hint="eastAsia"/>
          <w:b/>
          <w:sz w:val="24"/>
          <w:szCs w:val="24"/>
        </w:rPr>
        <w:t>S</w:t>
      </w:r>
      <w:r w:rsidRPr="00462EFE">
        <w:rPr>
          <w:rFonts w:ascii="Times New Roman" w:hAnsi="Times New Roman"/>
          <w:b/>
          <w:sz w:val="24"/>
          <w:szCs w:val="24"/>
        </w:rPr>
        <w:t xml:space="preserve">1. </w:t>
      </w:r>
      <w:r>
        <w:rPr>
          <w:rFonts w:ascii="Times New Roman" w:hAnsi="Times New Roman"/>
          <w:sz w:val="24"/>
          <w:szCs w:val="24"/>
        </w:rPr>
        <w:t xml:space="preserve">Quality assessment of </w:t>
      </w:r>
      <w:r w:rsidR="006178E6">
        <w:rPr>
          <w:rFonts w:ascii="Times New Roman" w:hAnsi="Times New Roman" w:hint="eastAsia"/>
          <w:sz w:val="24"/>
          <w:szCs w:val="24"/>
        </w:rPr>
        <w:t xml:space="preserve">17 </w:t>
      </w:r>
      <w:r>
        <w:rPr>
          <w:rFonts w:ascii="Times New Roman" w:hAnsi="Times New Roman"/>
          <w:sz w:val="24"/>
          <w:szCs w:val="24"/>
        </w:rPr>
        <w:t>included studies by using the JBI Critical Appraisal Checklist for Cohort Studies.</w:t>
      </w:r>
    </w:p>
    <w:tbl>
      <w:tblPr>
        <w:tblW w:w="15835" w:type="dxa"/>
        <w:tblInd w:w="-1168" w:type="dxa"/>
        <w:tblBorders>
          <w:top w:val="single" w:sz="4" w:space="0" w:color="F2F2F2"/>
          <w:left w:val="single" w:sz="4" w:space="0" w:color="F2F2F2"/>
          <w:bottom w:val="single" w:sz="4" w:space="0" w:color="F2F2F2"/>
          <w:right w:val="single" w:sz="4" w:space="0" w:color="F2F2F2"/>
          <w:insideH w:val="single" w:sz="4" w:space="0" w:color="F2F2F2"/>
          <w:insideV w:val="single" w:sz="4" w:space="0" w:color="F2F2F2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70"/>
        <w:gridCol w:w="783"/>
        <w:gridCol w:w="782"/>
        <w:gridCol w:w="807"/>
        <w:gridCol w:w="859"/>
        <w:gridCol w:w="859"/>
        <w:gridCol w:w="846"/>
        <w:gridCol w:w="898"/>
        <w:gridCol w:w="872"/>
        <w:gridCol w:w="794"/>
        <w:gridCol w:w="770"/>
        <w:gridCol w:w="807"/>
        <w:gridCol w:w="821"/>
        <w:gridCol w:w="820"/>
        <w:gridCol w:w="782"/>
        <w:gridCol w:w="898"/>
        <w:gridCol w:w="692"/>
        <w:gridCol w:w="975"/>
      </w:tblGrid>
      <w:tr w:rsidR="0037109B" w:rsidRPr="00CC49C9">
        <w:trPr>
          <w:trHeight w:val="348"/>
        </w:trPr>
        <w:tc>
          <w:tcPr>
            <w:tcW w:w="1770" w:type="dxa"/>
            <w:tcBorders>
              <w:top w:val="single" w:sz="8" w:space="0" w:color="auto"/>
              <w:bottom w:val="single" w:sz="8" w:space="0" w:color="auto"/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snapToGrid w:val="0"/>
              <w:jc w:val="left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 </w:t>
            </w:r>
          </w:p>
        </w:tc>
        <w:tc>
          <w:tcPr>
            <w:tcW w:w="783" w:type="dxa"/>
            <w:tcBorders>
              <w:top w:val="single" w:sz="8" w:space="0" w:color="auto"/>
              <w:bottom w:val="single" w:sz="8" w:space="0" w:color="auto"/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proofErr w:type="spellStart"/>
            <w:r>
              <w:rPr>
                <w:rFonts w:ascii="Times New Roman" w:hAnsi="Times New Roman"/>
                <w:kern w:val="0"/>
                <w:sz w:val="13"/>
                <w:szCs w:val="13"/>
              </w:rPr>
              <w:t>Manfredi</w:t>
            </w:r>
            <w:proofErr w:type="spellEnd"/>
            <w:r>
              <w:rPr>
                <w:rFonts w:ascii="Times New Roman" w:hAnsi="Times New Roman"/>
                <w:kern w:val="0"/>
                <w:sz w:val="13"/>
                <w:szCs w:val="13"/>
              </w:rPr>
              <w:t>, 1997</w:t>
            </w:r>
          </w:p>
        </w:tc>
        <w:tc>
          <w:tcPr>
            <w:tcW w:w="782" w:type="dxa"/>
            <w:tcBorders>
              <w:top w:val="single" w:sz="8" w:space="0" w:color="auto"/>
              <w:bottom w:val="single" w:sz="8" w:space="0" w:color="auto"/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proofErr w:type="spellStart"/>
            <w:r>
              <w:rPr>
                <w:rFonts w:ascii="Times New Roman" w:hAnsi="Times New Roman"/>
                <w:kern w:val="0"/>
                <w:sz w:val="13"/>
                <w:szCs w:val="13"/>
              </w:rPr>
              <w:t>Parkes</w:t>
            </w:r>
            <w:proofErr w:type="spellEnd"/>
            <w:r>
              <w:rPr>
                <w:rFonts w:ascii="Times New Roman" w:hAnsi="Times New Roman"/>
                <w:kern w:val="0"/>
                <w:sz w:val="13"/>
                <w:szCs w:val="13"/>
              </w:rPr>
              <w:t>-</w:t>
            </w:r>
          </w:p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proofErr w:type="spellStart"/>
            <w:r>
              <w:rPr>
                <w:rFonts w:ascii="Times New Roman" w:hAnsi="Times New Roman"/>
                <w:kern w:val="0"/>
                <w:sz w:val="13"/>
                <w:szCs w:val="13"/>
              </w:rPr>
              <w:t>Ratanshi</w:t>
            </w:r>
            <w:proofErr w:type="spellEnd"/>
            <w:r>
              <w:rPr>
                <w:rFonts w:ascii="Times New Roman" w:hAnsi="Times New Roman"/>
                <w:kern w:val="0"/>
                <w:sz w:val="13"/>
                <w:szCs w:val="13"/>
              </w:rPr>
              <w:t xml:space="preserve">, </w:t>
            </w:r>
          </w:p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2011</w:t>
            </w:r>
          </w:p>
        </w:tc>
        <w:tc>
          <w:tcPr>
            <w:tcW w:w="807" w:type="dxa"/>
            <w:tcBorders>
              <w:top w:val="single" w:sz="8" w:space="0" w:color="auto"/>
              <w:bottom w:val="single" w:sz="8" w:space="0" w:color="auto"/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McKinsey,</w:t>
            </w:r>
          </w:p>
          <w:p w:rsidR="0037109B" w:rsidRDefault="00EF0DA7">
            <w:pPr>
              <w:widowControl/>
              <w:tabs>
                <w:tab w:val="center" w:pos="317"/>
              </w:tabs>
              <w:snapToGrid w:val="0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ab/>
              <w:t>1999</w:t>
            </w:r>
          </w:p>
        </w:tc>
        <w:tc>
          <w:tcPr>
            <w:tcW w:w="859" w:type="dxa"/>
            <w:tcBorders>
              <w:top w:val="single" w:sz="8" w:space="0" w:color="auto"/>
              <w:bottom w:val="single" w:sz="8" w:space="0" w:color="auto"/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proofErr w:type="spellStart"/>
            <w:r>
              <w:rPr>
                <w:rFonts w:ascii="Times New Roman" w:hAnsi="Times New Roman"/>
                <w:kern w:val="0"/>
                <w:sz w:val="13"/>
                <w:szCs w:val="13"/>
              </w:rPr>
              <w:t>Kapoor</w:t>
            </w:r>
            <w:proofErr w:type="spellEnd"/>
            <w:r>
              <w:rPr>
                <w:rFonts w:ascii="Times New Roman" w:hAnsi="Times New Roman"/>
                <w:kern w:val="0"/>
                <w:sz w:val="13"/>
                <w:szCs w:val="13"/>
              </w:rPr>
              <w:t>,</w:t>
            </w:r>
          </w:p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2015</w:t>
            </w:r>
          </w:p>
        </w:tc>
        <w:tc>
          <w:tcPr>
            <w:tcW w:w="859" w:type="dxa"/>
            <w:tcBorders>
              <w:top w:val="single" w:sz="8" w:space="0" w:color="auto"/>
              <w:bottom w:val="single" w:sz="8" w:space="0" w:color="auto"/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proofErr w:type="spellStart"/>
            <w:r>
              <w:rPr>
                <w:rFonts w:ascii="Times New Roman" w:hAnsi="Times New Roman"/>
                <w:kern w:val="0"/>
                <w:sz w:val="13"/>
                <w:szCs w:val="13"/>
              </w:rPr>
              <w:t>Beyene</w:t>
            </w:r>
            <w:proofErr w:type="spellEnd"/>
            <w:r>
              <w:rPr>
                <w:rFonts w:ascii="Times New Roman" w:hAnsi="Times New Roman"/>
                <w:kern w:val="0"/>
                <w:sz w:val="13"/>
                <w:szCs w:val="13"/>
              </w:rPr>
              <w:t>,</w:t>
            </w:r>
          </w:p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2017</w:t>
            </w:r>
          </w:p>
        </w:tc>
        <w:tc>
          <w:tcPr>
            <w:tcW w:w="846" w:type="dxa"/>
            <w:tcBorders>
              <w:top w:val="single" w:sz="8" w:space="0" w:color="auto"/>
              <w:bottom w:val="single" w:sz="8" w:space="0" w:color="auto"/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proofErr w:type="spellStart"/>
            <w:r>
              <w:rPr>
                <w:rFonts w:ascii="Times New Roman" w:hAnsi="Times New Roman"/>
                <w:kern w:val="0"/>
                <w:sz w:val="13"/>
                <w:szCs w:val="13"/>
              </w:rPr>
              <w:t>Meya</w:t>
            </w:r>
            <w:proofErr w:type="spellEnd"/>
            <w:r>
              <w:rPr>
                <w:rFonts w:ascii="Times New Roman" w:hAnsi="Times New Roman"/>
                <w:kern w:val="0"/>
                <w:sz w:val="13"/>
                <w:szCs w:val="13"/>
              </w:rPr>
              <w:t>,</w:t>
            </w:r>
          </w:p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 xml:space="preserve"> 2010</w:t>
            </w:r>
          </w:p>
          <w:p w:rsidR="0037109B" w:rsidRDefault="0037109B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898" w:type="dxa"/>
            <w:tcBorders>
              <w:top w:val="single" w:sz="8" w:space="0" w:color="auto"/>
              <w:bottom w:val="single" w:sz="8" w:space="0" w:color="auto"/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proofErr w:type="spellStart"/>
            <w:r>
              <w:rPr>
                <w:rFonts w:ascii="Times New Roman" w:hAnsi="Times New Roman"/>
                <w:kern w:val="0"/>
                <w:sz w:val="13"/>
                <w:szCs w:val="13"/>
              </w:rPr>
              <w:t>Vallabhaneni</w:t>
            </w:r>
            <w:proofErr w:type="spellEnd"/>
            <w:r>
              <w:rPr>
                <w:rFonts w:ascii="Times New Roman" w:hAnsi="Times New Roman"/>
                <w:kern w:val="0"/>
                <w:sz w:val="13"/>
                <w:szCs w:val="13"/>
              </w:rPr>
              <w:t>,</w:t>
            </w:r>
          </w:p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2016</w:t>
            </w:r>
          </w:p>
        </w:tc>
        <w:tc>
          <w:tcPr>
            <w:tcW w:w="872" w:type="dxa"/>
            <w:tcBorders>
              <w:top w:val="single" w:sz="8" w:space="0" w:color="auto"/>
              <w:bottom w:val="single" w:sz="8" w:space="0" w:color="auto"/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Jarvis,</w:t>
            </w:r>
          </w:p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2009</w:t>
            </w:r>
          </w:p>
        </w:tc>
        <w:tc>
          <w:tcPr>
            <w:tcW w:w="794" w:type="dxa"/>
            <w:tcBorders>
              <w:top w:val="single" w:sz="8" w:space="0" w:color="auto"/>
              <w:bottom w:val="single" w:sz="8" w:space="0" w:color="auto"/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proofErr w:type="spellStart"/>
            <w:r>
              <w:rPr>
                <w:rFonts w:ascii="Times New Roman" w:hAnsi="Times New Roman"/>
                <w:kern w:val="0"/>
                <w:sz w:val="13"/>
                <w:szCs w:val="13"/>
              </w:rPr>
              <w:t>Liechty</w:t>
            </w:r>
            <w:proofErr w:type="spellEnd"/>
            <w:r>
              <w:rPr>
                <w:rFonts w:ascii="Times New Roman" w:hAnsi="Times New Roman"/>
                <w:kern w:val="0"/>
                <w:sz w:val="13"/>
                <w:szCs w:val="13"/>
              </w:rPr>
              <w:t>,</w:t>
            </w:r>
          </w:p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2007</w:t>
            </w:r>
          </w:p>
        </w:tc>
        <w:tc>
          <w:tcPr>
            <w:tcW w:w="770" w:type="dxa"/>
            <w:tcBorders>
              <w:top w:val="single" w:sz="8" w:space="0" w:color="auto"/>
              <w:bottom w:val="single" w:sz="8" w:space="0" w:color="auto"/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proofErr w:type="spellStart"/>
            <w:r>
              <w:rPr>
                <w:rFonts w:ascii="Times New Roman" w:hAnsi="Times New Roman"/>
                <w:kern w:val="0"/>
                <w:sz w:val="13"/>
                <w:szCs w:val="13"/>
              </w:rPr>
              <w:t>Ganiem</w:t>
            </w:r>
            <w:proofErr w:type="spellEnd"/>
            <w:r>
              <w:rPr>
                <w:rFonts w:ascii="Times New Roman" w:hAnsi="Times New Roman"/>
                <w:kern w:val="0"/>
                <w:sz w:val="13"/>
                <w:szCs w:val="13"/>
              </w:rPr>
              <w:t>,</w:t>
            </w:r>
          </w:p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2014</w:t>
            </w:r>
          </w:p>
        </w:tc>
        <w:tc>
          <w:tcPr>
            <w:tcW w:w="807" w:type="dxa"/>
            <w:tcBorders>
              <w:top w:val="single" w:sz="8" w:space="0" w:color="auto"/>
              <w:bottom w:val="single" w:sz="8" w:space="0" w:color="auto"/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Rick,</w:t>
            </w:r>
          </w:p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2017</w:t>
            </w:r>
          </w:p>
        </w:tc>
        <w:tc>
          <w:tcPr>
            <w:tcW w:w="821" w:type="dxa"/>
            <w:tcBorders>
              <w:top w:val="single" w:sz="8" w:space="0" w:color="auto"/>
              <w:bottom w:val="single" w:sz="8" w:space="0" w:color="auto"/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Linares,</w:t>
            </w:r>
          </w:p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2012</w:t>
            </w:r>
          </w:p>
        </w:tc>
        <w:tc>
          <w:tcPr>
            <w:tcW w:w="820" w:type="dxa"/>
            <w:tcBorders>
              <w:top w:val="single" w:sz="8" w:space="0" w:color="auto"/>
              <w:bottom w:val="single" w:sz="8" w:space="0" w:color="auto"/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Kwan,</w:t>
            </w:r>
          </w:p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2014</w:t>
            </w:r>
          </w:p>
        </w:tc>
        <w:tc>
          <w:tcPr>
            <w:tcW w:w="782" w:type="dxa"/>
            <w:tcBorders>
              <w:top w:val="single" w:sz="8" w:space="0" w:color="auto"/>
              <w:bottom w:val="single" w:sz="8" w:space="0" w:color="auto"/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Longley,</w:t>
            </w:r>
          </w:p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2016</w:t>
            </w:r>
          </w:p>
        </w:tc>
        <w:tc>
          <w:tcPr>
            <w:tcW w:w="898" w:type="dxa"/>
            <w:tcBorders>
              <w:top w:val="single" w:sz="8" w:space="0" w:color="auto"/>
              <w:bottom w:val="single" w:sz="8" w:space="0" w:color="auto"/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proofErr w:type="spellStart"/>
            <w:r>
              <w:rPr>
                <w:rFonts w:ascii="Times New Roman" w:hAnsi="Times New Roman"/>
                <w:kern w:val="0"/>
                <w:sz w:val="13"/>
                <w:szCs w:val="13"/>
              </w:rPr>
              <w:t>Chetchotisakd</w:t>
            </w:r>
            <w:proofErr w:type="spellEnd"/>
            <w:r>
              <w:rPr>
                <w:rFonts w:ascii="Times New Roman" w:hAnsi="Times New Roman"/>
                <w:kern w:val="0"/>
                <w:sz w:val="13"/>
                <w:szCs w:val="13"/>
              </w:rPr>
              <w:t>,</w:t>
            </w:r>
          </w:p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2004</w:t>
            </w:r>
          </w:p>
        </w:tc>
        <w:tc>
          <w:tcPr>
            <w:tcW w:w="692" w:type="dxa"/>
            <w:tcBorders>
              <w:top w:val="single" w:sz="8" w:space="0" w:color="auto"/>
              <w:bottom w:val="single" w:sz="8" w:space="0" w:color="auto"/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Nightingale,</w:t>
            </w:r>
          </w:p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1992</w:t>
            </w:r>
          </w:p>
        </w:tc>
        <w:tc>
          <w:tcPr>
            <w:tcW w:w="975" w:type="dxa"/>
            <w:tcBorders>
              <w:top w:val="single" w:sz="8" w:space="0" w:color="auto"/>
              <w:bottom w:val="single" w:sz="8" w:space="0" w:color="auto"/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proofErr w:type="spellStart"/>
            <w:r>
              <w:rPr>
                <w:rFonts w:ascii="Times New Roman" w:hAnsi="Times New Roman"/>
                <w:kern w:val="0"/>
                <w:sz w:val="13"/>
                <w:szCs w:val="13"/>
              </w:rPr>
              <w:t>Govender</w:t>
            </w:r>
            <w:proofErr w:type="spellEnd"/>
          </w:p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2015</w:t>
            </w:r>
          </w:p>
        </w:tc>
      </w:tr>
      <w:tr w:rsidR="0037109B" w:rsidRPr="00CC49C9">
        <w:tc>
          <w:tcPr>
            <w:tcW w:w="1770" w:type="dxa"/>
            <w:tcBorders>
              <w:top w:val="single" w:sz="8" w:space="0" w:color="auto"/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numPr>
                <w:ilvl w:val="0"/>
                <w:numId w:val="1"/>
              </w:numPr>
              <w:tabs>
                <w:tab w:val="clear" w:pos="720"/>
                <w:tab w:val="left" w:pos="0"/>
              </w:tabs>
              <w:snapToGrid w:val="0"/>
              <w:ind w:left="0"/>
              <w:jc w:val="left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Were the two groups similar and recruited from the same population?</w:t>
            </w:r>
          </w:p>
        </w:tc>
        <w:tc>
          <w:tcPr>
            <w:tcW w:w="783" w:type="dxa"/>
            <w:tcBorders>
              <w:top w:val="single" w:sz="8" w:space="0" w:color="auto"/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782" w:type="dxa"/>
            <w:tcBorders>
              <w:top w:val="single" w:sz="8" w:space="0" w:color="auto"/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07" w:type="dxa"/>
            <w:tcBorders>
              <w:top w:val="single" w:sz="8" w:space="0" w:color="auto"/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59" w:type="dxa"/>
            <w:tcBorders>
              <w:top w:val="single" w:sz="8" w:space="0" w:color="auto"/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333333"/>
                <w:kern w:val="0"/>
                <w:sz w:val="15"/>
                <w:szCs w:val="15"/>
              </w:rPr>
              <w:t>Not applicable</w:t>
            </w:r>
          </w:p>
        </w:tc>
        <w:tc>
          <w:tcPr>
            <w:tcW w:w="859" w:type="dxa"/>
            <w:tcBorders>
              <w:top w:val="single" w:sz="8" w:space="0" w:color="auto"/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333333"/>
                <w:kern w:val="0"/>
                <w:sz w:val="15"/>
                <w:szCs w:val="15"/>
              </w:rPr>
              <w:t>Not applicable</w:t>
            </w:r>
          </w:p>
        </w:tc>
        <w:tc>
          <w:tcPr>
            <w:tcW w:w="846" w:type="dxa"/>
            <w:tcBorders>
              <w:top w:val="single" w:sz="8" w:space="0" w:color="auto"/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333333"/>
                <w:kern w:val="0"/>
                <w:sz w:val="15"/>
                <w:szCs w:val="15"/>
              </w:rPr>
              <w:t>Not applicable</w:t>
            </w:r>
          </w:p>
        </w:tc>
        <w:tc>
          <w:tcPr>
            <w:tcW w:w="898" w:type="dxa"/>
            <w:tcBorders>
              <w:top w:val="single" w:sz="8" w:space="0" w:color="auto"/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333333"/>
                <w:kern w:val="0"/>
                <w:sz w:val="15"/>
                <w:szCs w:val="15"/>
              </w:rPr>
              <w:t>Not applicable</w:t>
            </w:r>
          </w:p>
        </w:tc>
        <w:tc>
          <w:tcPr>
            <w:tcW w:w="872" w:type="dxa"/>
            <w:tcBorders>
              <w:top w:val="single" w:sz="8" w:space="0" w:color="auto"/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333333"/>
                <w:kern w:val="0"/>
                <w:sz w:val="15"/>
                <w:szCs w:val="15"/>
              </w:rPr>
              <w:t>Not applicable</w:t>
            </w:r>
          </w:p>
        </w:tc>
        <w:tc>
          <w:tcPr>
            <w:tcW w:w="794" w:type="dxa"/>
            <w:tcBorders>
              <w:top w:val="single" w:sz="8" w:space="0" w:color="auto"/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333333"/>
                <w:kern w:val="0"/>
                <w:sz w:val="15"/>
                <w:szCs w:val="15"/>
              </w:rPr>
              <w:t>Not applicable</w:t>
            </w:r>
          </w:p>
        </w:tc>
        <w:tc>
          <w:tcPr>
            <w:tcW w:w="770" w:type="dxa"/>
            <w:tcBorders>
              <w:top w:val="single" w:sz="8" w:space="0" w:color="auto"/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333333"/>
                <w:kern w:val="0"/>
                <w:sz w:val="15"/>
                <w:szCs w:val="15"/>
              </w:rPr>
              <w:t>Not applicable</w:t>
            </w:r>
          </w:p>
        </w:tc>
        <w:tc>
          <w:tcPr>
            <w:tcW w:w="807" w:type="dxa"/>
            <w:tcBorders>
              <w:top w:val="single" w:sz="8" w:space="0" w:color="auto"/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333333"/>
                <w:kern w:val="0"/>
                <w:sz w:val="15"/>
                <w:szCs w:val="15"/>
              </w:rPr>
              <w:t>Not applicable</w:t>
            </w:r>
          </w:p>
        </w:tc>
        <w:tc>
          <w:tcPr>
            <w:tcW w:w="821" w:type="dxa"/>
            <w:tcBorders>
              <w:top w:val="single" w:sz="8" w:space="0" w:color="auto"/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333333"/>
                <w:kern w:val="0"/>
                <w:sz w:val="15"/>
                <w:szCs w:val="15"/>
              </w:rPr>
              <w:t>Not applicable</w:t>
            </w:r>
          </w:p>
        </w:tc>
        <w:tc>
          <w:tcPr>
            <w:tcW w:w="820" w:type="dxa"/>
            <w:tcBorders>
              <w:top w:val="single" w:sz="8" w:space="0" w:color="auto"/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333333"/>
                <w:kern w:val="0"/>
                <w:sz w:val="15"/>
                <w:szCs w:val="15"/>
              </w:rPr>
              <w:t>Not applicable</w:t>
            </w:r>
          </w:p>
        </w:tc>
        <w:tc>
          <w:tcPr>
            <w:tcW w:w="782" w:type="dxa"/>
            <w:tcBorders>
              <w:top w:val="single" w:sz="8" w:space="0" w:color="auto"/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333333"/>
                <w:kern w:val="0"/>
                <w:sz w:val="15"/>
                <w:szCs w:val="15"/>
              </w:rPr>
              <w:t>Not applicable</w:t>
            </w:r>
          </w:p>
        </w:tc>
        <w:tc>
          <w:tcPr>
            <w:tcW w:w="898" w:type="dxa"/>
            <w:tcBorders>
              <w:top w:val="single" w:sz="8" w:space="0" w:color="auto"/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692" w:type="dxa"/>
            <w:tcBorders>
              <w:top w:val="single" w:sz="8" w:space="0" w:color="auto"/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333333"/>
                <w:kern w:val="0"/>
                <w:sz w:val="15"/>
                <w:szCs w:val="15"/>
              </w:rPr>
              <w:t>No</w:t>
            </w:r>
          </w:p>
        </w:tc>
        <w:tc>
          <w:tcPr>
            <w:tcW w:w="975" w:type="dxa"/>
            <w:tcBorders>
              <w:top w:val="single" w:sz="8" w:space="0" w:color="auto"/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333333"/>
                <w:kern w:val="0"/>
                <w:sz w:val="15"/>
                <w:szCs w:val="15"/>
              </w:rPr>
              <w:t>No</w:t>
            </w:r>
          </w:p>
        </w:tc>
      </w:tr>
      <w:tr w:rsidR="0037109B" w:rsidRPr="00CC49C9">
        <w:tc>
          <w:tcPr>
            <w:tcW w:w="1770" w:type="dxa"/>
            <w:tcBorders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numPr>
                <w:ilvl w:val="0"/>
                <w:numId w:val="2"/>
              </w:numPr>
              <w:tabs>
                <w:tab w:val="clear" w:pos="720"/>
                <w:tab w:val="left" w:pos="0"/>
              </w:tabs>
              <w:snapToGrid w:val="0"/>
              <w:ind w:left="0"/>
              <w:jc w:val="left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Were the exposures measured similarly to assign people to both exposed and unexposed groups?</w:t>
            </w:r>
          </w:p>
        </w:tc>
        <w:tc>
          <w:tcPr>
            <w:tcW w:w="783" w:type="dxa"/>
            <w:tcBorders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782" w:type="dxa"/>
            <w:tcBorders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07" w:type="dxa"/>
            <w:tcBorders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59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333333"/>
                <w:kern w:val="0"/>
                <w:sz w:val="15"/>
                <w:szCs w:val="15"/>
              </w:rPr>
              <w:t>Not applicable</w:t>
            </w:r>
          </w:p>
        </w:tc>
        <w:tc>
          <w:tcPr>
            <w:tcW w:w="859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333333"/>
                <w:kern w:val="0"/>
                <w:sz w:val="15"/>
                <w:szCs w:val="15"/>
              </w:rPr>
              <w:t>Not applicable</w:t>
            </w:r>
          </w:p>
        </w:tc>
        <w:tc>
          <w:tcPr>
            <w:tcW w:w="846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333333"/>
                <w:kern w:val="0"/>
                <w:sz w:val="15"/>
                <w:szCs w:val="15"/>
              </w:rPr>
              <w:t>Not applicable</w:t>
            </w:r>
          </w:p>
        </w:tc>
        <w:tc>
          <w:tcPr>
            <w:tcW w:w="898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333333"/>
                <w:kern w:val="0"/>
                <w:sz w:val="15"/>
                <w:szCs w:val="15"/>
              </w:rPr>
              <w:t>Not applicable</w:t>
            </w:r>
          </w:p>
        </w:tc>
        <w:tc>
          <w:tcPr>
            <w:tcW w:w="872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333333"/>
                <w:kern w:val="0"/>
                <w:sz w:val="15"/>
                <w:szCs w:val="15"/>
              </w:rPr>
              <w:t>Not applicable</w:t>
            </w:r>
          </w:p>
        </w:tc>
        <w:tc>
          <w:tcPr>
            <w:tcW w:w="794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333333"/>
                <w:kern w:val="0"/>
                <w:sz w:val="15"/>
                <w:szCs w:val="15"/>
              </w:rPr>
              <w:t>Not applicable</w:t>
            </w:r>
          </w:p>
        </w:tc>
        <w:tc>
          <w:tcPr>
            <w:tcW w:w="770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333333"/>
                <w:kern w:val="0"/>
                <w:sz w:val="15"/>
                <w:szCs w:val="15"/>
              </w:rPr>
              <w:t>Not applicable</w:t>
            </w:r>
          </w:p>
        </w:tc>
        <w:tc>
          <w:tcPr>
            <w:tcW w:w="807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333333"/>
                <w:kern w:val="0"/>
                <w:sz w:val="15"/>
                <w:szCs w:val="15"/>
              </w:rPr>
              <w:t>Not applicable</w:t>
            </w:r>
          </w:p>
        </w:tc>
        <w:tc>
          <w:tcPr>
            <w:tcW w:w="821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333333"/>
                <w:kern w:val="0"/>
                <w:sz w:val="15"/>
                <w:szCs w:val="15"/>
              </w:rPr>
              <w:t>Not applicable</w:t>
            </w:r>
          </w:p>
        </w:tc>
        <w:tc>
          <w:tcPr>
            <w:tcW w:w="820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333333"/>
                <w:kern w:val="0"/>
                <w:sz w:val="15"/>
                <w:szCs w:val="15"/>
              </w:rPr>
              <w:t>Not applicable</w:t>
            </w:r>
          </w:p>
        </w:tc>
        <w:tc>
          <w:tcPr>
            <w:tcW w:w="782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333333"/>
                <w:kern w:val="0"/>
                <w:sz w:val="15"/>
                <w:szCs w:val="15"/>
              </w:rPr>
              <w:t>Not applicable</w:t>
            </w:r>
          </w:p>
        </w:tc>
        <w:tc>
          <w:tcPr>
            <w:tcW w:w="898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692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333333"/>
                <w:kern w:val="0"/>
                <w:sz w:val="15"/>
                <w:szCs w:val="15"/>
              </w:rPr>
              <w:t>Not applicable</w:t>
            </w:r>
          </w:p>
        </w:tc>
        <w:tc>
          <w:tcPr>
            <w:tcW w:w="975" w:type="dxa"/>
            <w:tcBorders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color w:val="333333"/>
                <w:kern w:val="0"/>
                <w:sz w:val="15"/>
                <w:szCs w:val="15"/>
              </w:rPr>
              <w:t>Not applicable</w:t>
            </w:r>
          </w:p>
        </w:tc>
      </w:tr>
      <w:tr w:rsidR="0037109B" w:rsidRPr="00CC49C9">
        <w:tc>
          <w:tcPr>
            <w:tcW w:w="1770" w:type="dxa"/>
            <w:tcBorders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numPr>
                <w:ilvl w:val="0"/>
                <w:numId w:val="3"/>
              </w:numPr>
              <w:tabs>
                <w:tab w:val="clear" w:pos="720"/>
                <w:tab w:val="left" w:pos="0"/>
              </w:tabs>
              <w:snapToGrid w:val="0"/>
              <w:ind w:left="0"/>
              <w:jc w:val="left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Was the exposure measured in a valid and reliable way?</w:t>
            </w:r>
          </w:p>
        </w:tc>
        <w:tc>
          <w:tcPr>
            <w:tcW w:w="783" w:type="dxa"/>
            <w:tcBorders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 xml:space="preserve">Yes </w:t>
            </w:r>
          </w:p>
        </w:tc>
        <w:tc>
          <w:tcPr>
            <w:tcW w:w="782" w:type="dxa"/>
            <w:tcBorders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 xml:space="preserve">Yes </w:t>
            </w:r>
          </w:p>
        </w:tc>
        <w:tc>
          <w:tcPr>
            <w:tcW w:w="807" w:type="dxa"/>
            <w:tcBorders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59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59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46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98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72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794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770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07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21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20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782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98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692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975" w:type="dxa"/>
            <w:tcBorders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</w:tr>
      <w:tr w:rsidR="0037109B" w:rsidRPr="00CC49C9">
        <w:tc>
          <w:tcPr>
            <w:tcW w:w="1770" w:type="dxa"/>
            <w:tcBorders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numPr>
                <w:ilvl w:val="0"/>
                <w:numId w:val="4"/>
              </w:numPr>
              <w:tabs>
                <w:tab w:val="clear" w:pos="720"/>
                <w:tab w:val="left" w:pos="0"/>
              </w:tabs>
              <w:snapToGrid w:val="0"/>
              <w:ind w:left="0"/>
              <w:jc w:val="left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Were confounding factors identified?</w:t>
            </w:r>
          </w:p>
        </w:tc>
        <w:tc>
          <w:tcPr>
            <w:tcW w:w="783" w:type="dxa"/>
            <w:tcBorders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No</w:t>
            </w:r>
          </w:p>
        </w:tc>
        <w:tc>
          <w:tcPr>
            <w:tcW w:w="782" w:type="dxa"/>
            <w:tcBorders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 xml:space="preserve">Unclear </w:t>
            </w:r>
          </w:p>
        </w:tc>
        <w:tc>
          <w:tcPr>
            <w:tcW w:w="807" w:type="dxa"/>
            <w:tcBorders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59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Unclear</w:t>
            </w:r>
          </w:p>
        </w:tc>
        <w:tc>
          <w:tcPr>
            <w:tcW w:w="859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46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98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72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794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770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07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21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No</w:t>
            </w:r>
          </w:p>
        </w:tc>
        <w:tc>
          <w:tcPr>
            <w:tcW w:w="820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No</w:t>
            </w:r>
          </w:p>
        </w:tc>
        <w:tc>
          <w:tcPr>
            <w:tcW w:w="782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98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No</w:t>
            </w:r>
          </w:p>
        </w:tc>
        <w:tc>
          <w:tcPr>
            <w:tcW w:w="692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975" w:type="dxa"/>
            <w:tcBorders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</w:tr>
      <w:tr w:rsidR="0037109B" w:rsidRPr="00CC49C9">
        <w:tc>
          <w:tcPr>
            <w:tcW w:w="1770" w:type="dxa"/>
            <w:tcBorders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numPr>
                <w:ilvl w:val="0"/>
                <w:numId w:val="5"/>
              </w:numPr>
              <w:tabs>
                <w:tab w:val="clear" w:pos="720"/>
              </w:tabs>
              <w:snapToGrid w:val="0"/>
              <w:ind w:left="0"/>
              <w:jc w:val="left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Were strategies to deal with confounding factors stated?</w:t>
            </w:r>
          </w:p>
        </w:tc>
        <w:tc>
          <w:tcPr>
            <w:tcW w:w="783" w:type="dxa"/>
            <w:tcBorders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No</w:t>
            </w:r>
          </w:p>
        </w:tc>
        <w:tc>
          <w:tcPr>
            <w:tcW w:w="782" w:type="dxa"/>
            <w:tcBorders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Unclear</w:t>
            </w:r>
          </w:p>
        </w:tc>
        <w:tc>
          <w:tcPr>
            <w:tcW w:w="807" w:type="dxa"/>
            <w:tcBorders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59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Unclear</w:t>
            </w:r>
          </w:p>
        </w:tc>
        <w:tc>
          <w:tcPr>
            <w:tcW w:w="859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 xml:space="preserve">Unclear </w:t>
            </w:r>
          </w:p>
        </w:tc>
        <w:tc>
          <w:tcPr>
            <w:tcW w:w="846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98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72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794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Unclear</w:t>
            </w:r>
          </w:p>
        </w:tc>
        <w:tc>
          <w:tcPr>
            <w:tcW w:w="770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Unclear</w:t>
            </w:r>
          </w:p>
        </w:tc>
        <w:tc>
          <w:tcPr>
            <w:tcW w:w="807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Unclear</w:t>
            </w:r>
          </w:p>
        </w:tc>
        <w:tc>
          <w:tcPr>
            <w:tcW w:w="821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No</w:t>
            </w:r>
          </w:p>
        </w:tc>
        <w:tc>
          <w:tcPr>
            <w:tcW w:w="820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No</w:t>
            </w:r>
          </w:p>
        </w:tc>
        <w:tc>
          <w:tcPr>
            <w:tcW w:w="782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98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No</w:t>
            </w:r>
          </w:p>
        </w:tc>
        <w:tc>
          <w:tcPr>
            <w:tcW w:w="692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975" w:type="dxa"/>
            <w:tcBorders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</w:tr>
      <w:tr w:rsidR="0037109B" w:rsidRPr="00CC49C9">
        <w:tc>
          <w:tcPr>
            <w:tcW w:w="1770" w:type="dxa"/>
            <w:tcBorders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numPr>
                <w:ilvl w:val="0"/>
                <w:numId w:val="6"/>
              </w:numPr>
              <w:tabs>
                <w:tab w:val="clear" w:pos="720"/>
                <w:tab w:val="left" w:pos="0"/>
              </w:tabs>
              <w:snapToGrid w:val="0"/>
              <w:ind w:left="0"/>
              <w:jc w:val="left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 xml:space="preserve">Were the </w:t>
            </w:r>
            <w:proofErr w:type="spellStart"/>
            <w:r>
              <w:rPr>
                <w:rFonts w:ascii="Times New Roman" w:hAnsi="Times New Roman"/>
                <w:kern w:val="0"/>
                <w:sz w:val="13"/>
                <w:szCs w:val="13"/>
              </w:rPr>
              <w:t>goups</w:t>
            </w:r>
            <w:proofErr w:type="spellEnd"/>
            <w:r>
              <w:rPr>
                <w:rFonts w:ascii="Times New Roman" w:hAnsi="Times New Roman"/>
                <w:kern w:val="0"/>
                <w:sz w:val="13"/>
                <w:szCs w:val="13"/>
              </w:rPr>
              <w:t>/participants free of the outcome at the start of the study (or at the moment of exposure)?</w:t>
            </w:r>
          </w:p>
        </w:tc>
        <w:tc>
          <w:tcPr>
            <w:tcW w:w="783" w:type="dxa"/>
            <w:tcBorders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782" w:type="dxa"/>
            <w:tcBorders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07" w:type="dxa"/>
            <w:tcBorders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59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59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46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98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72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794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770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07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21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20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782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98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692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975" w:type="dxa"/>
            <w:tcBorders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</w:tr>
      <w:tr w:rsidR="0037109B" w:rsidRPr="00CC49C9">
        <w:tc>
          <w:tcPr>
            <w:tcW w:w="1770" w:type="dxa"/>
            <w:tcBorders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numPr>
                <w:ilvl w:val="0"/>
                <w:numId w:val="7"/>
              </w:numPr>
              <w:tabs>
                <w:tab w:val="clear" w:pos="720"/>
                <w:tab w:val="left" w:pos="0"/>
              </w:tabs>
              <w:snapToGrid w:val="0"/>
              <w:ind w:left="0"/>
              <w:jc w:val="left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Were the outcomes measured in a valid and reliable way?</w:t>
            </w:r>
          </w:p>
        </w:tc>
        <w:tc>
          <w:tcPr>
            <w:tcW w:w="783" w:type="dxa"/>
            <w:tcBorders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782" w:type="dxa"/>
            <w:tcBorders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07" w:type="dxa"/>
            <w:tcBorders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59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59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46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98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72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794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770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07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21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20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782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98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692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975" w:type="dxa"/>
            <w:tcBorders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</w:tr>
      <w:tr w:rsidR="0037109B" w:rsidRPr="00CC49C9">
        <w:tc>
          <w:tcPr>
            <w:tcW w:w="1770" w:type="dxa"/>
            <w:tcBorders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numPr>
                <w:ilvl w:val="0"/>
                <w:numId w:val="8"/>
              </w:numPr>
              <w:tabs>
                <w:tab w:val="clear" w:pos="720"/>
                <w:tab w:val="left" w:pos="0"/>
              </w:tabs>
              <w:snapToGrid w:val="0"/>
              <w:ind w:left="0"/>
              <w:jc w:val="left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Was the follow up time reported and sufficient to be long enough for outcomes to occur?</w:t>
            </w:r>
          </w:p>
        </w:tc>
        <w:tc>
          <w:tcPr>
            <w:tcW w:w="783" w:type="dxa"/>
            <w:tcBorders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782" w:type="dxa"/>
            <w:tcBorders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07" w:type="dxa"/>
            <w:tcBorders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59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59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46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98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 xml:space="preserve">Unclear </w:t>
            </w:r>
          </w:p>
        </w:tc>
        <w:tc>
          <w:tcPr>
            <w:tcW w:w="872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794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770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07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21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 xml:space="preserve">Unclear </w:t>
            </w:r>
          </w:p>
        </w:tc>
        <w:tc>
          <w:tcPr>
            <w:tcW w:w="820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782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98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692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975" w:type="dxa"/>
            <w:tcBorders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</w:tr>
      <w:tr w:rsidR="0037109B" w:rsidRPr="00CC49C9">
        <w:tc>
          <w:tcPr>
            <w:tcW w:w="1770" w:type="dxa"/>
            <w:tcBorders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numPr>
                <w:ilvl w:val="0"/>
                <w:numId w:val="9"/>
              </w:numPr>
              <w:tabs>
                <w:tab w:val="clear" w:pos="720"/>
                <w:tab w:val="left" w:pos="0"/>
              </w:tabs>
              <w:snapToGrid w:val="0"/>
              <w:ind w:left="0"/>
              <w:jc w:val="left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Was follow up complete, and if not, were the reasons to loss to follow up described and explored?</w:t>
            </w:r>
          </w:p>
        </w:tc>
        <w:tc>
          <w:tcPr>
            <w:tcW w:w="783" w:type="dxa"/>
            <w:tcBorders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782" w:type="dxa"/>
            <w:tcBorders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07" w:type="dxa"/>
            <w:tcBorders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Unclear</w:t>
            </w:r>
          </w:p>
        </w:tc>
        <w:tc>
          <w:tcPr>
            <w:tcW w:w="859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Unclear</w:t>
            </w:r>
          </w:p>
        </w:tc>
        <w:tc>
          <w:tcPr>
            <w:tcW w:w="859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46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98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72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794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770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07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Unclear</w:t>
            </w:r>
          </w:p>
        </w:tc>
        <w:tc>
          <w:tcPr>
            <w:tcW w:w="821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20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Unclear</w:t>
            </w:r>
          </w:p>
        </w:tc>
        <w:tc>
          <w:tcPr>
            <w:tcW w:w="782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98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Unclear</w:t>
            </w:r>
          </w:p>
        </w:tc>
        <w:tc>
          <w:tcPr>
            <w:tcW w:w="692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975" w:type="dxa"/>
            <w:tcBorders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</w:tr>
      <w:tr w:rsidR="0037109B" w:rsidRPr="00CC49C9">
        <w:tc>
          <w:tcPr>
            <w:tcW w:w="1770" w:type="dxa"/>
            <w:tcBorders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numPr>
                <w:ilvl w:val="0"/>
                <w:numId w:val="10"/>
              </w:numPr>
              <w:tabs>
                <w:tab w:val="clear" w:pos="720"/>
                <w:tab w:val="left" w:pos="0"/>
              </w:tabs>
              <w:snapToGrid w:val="0"/>
              <w:ind w:left="0"/>
              <w:jc w:val="left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Were strategies to address incomplete follow up utilized?</w:t>
            </w:r>
          </w:p>
        </w:tc>
        <w:tc>
          <w:tcPr>
            <w:tcW w:w="783" w:type="dxa"/>
            <w:tcBorders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 xml:space="preserve">Unclear </w:t>
            </w:r>
          </w:p>
        </w:tc>
        <w:tc>
          <w:tcPr>
            <w:tcW w:w="782" w:type="dxa"/>
            <w:tcBorders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Unclear</w:t>
            </w:r>
          </w:p>
        </w:tc>
        <w:tc>
          <w:tcPr>
            <w:tcW w:w="807" w:type="dxa"/>
            <w:tcBorders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Unclear</w:t>
            </w:r>
          </w:p>
        </w:tc>
        <w:tc>
          <w:tcPr>
            <w:tcW w:w="859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Unclear</w:t>
            </w:r>
          </w:p>
        </w:tc>
        <w:tc>
          <w:tcPr>
            <w:tcW w:w="859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 xml:space="preserve">Unclear </w:t>
            </w:r>
          </w:p>
        </w:tc>
        <w:tc>
          <w:tcPr>
            <w:tcW w:w="846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Unclear</w:t>
            </w:r>
          </w:p>
        </w:tc>
        <w:tc>
          <w:tcPr>
            <w:tcW w:w="898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Unclear</w:t>
            </w:r>
          </w:p>
        </w:tc>
        <w:tc>
          <w:tcPr>
            <w:tcW w:w="872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Unclear</w:t>
            </w:r>
          </w:p>
        </w:tc>
        <w:tc>
          <w:tcPr>
            <w:tcW w:w="794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No</w:t>
            </w:r>
          </w:p>
        </w:tc>
        <w:tc>
          <w:tcPr>
            <w:tcW w:w="770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07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Unclear</w:t>
            </w:r>
          </w:p>
        </w:tc>
        <w:tc>
          <w:tcPr>
            <w:tcW w:w="821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Unclear</w:t>
            </w:r>
          </w:p>
        </w:tc>
        <w:tc>
          <w:tcPr>
            <w:tcW w:w="820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Unclear</w:t>
            </w:r>
          </w:p>
        </w:tc>
        <w:tc>
          <w:tcPr>
            <w:tcW w:w="782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Unclear</w:t>
            </w:r>
          </w:p>
        </w:tc>
        <w:tc>
          <w:tcPr>
            <w:tcW w:w="898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Unclear</w:t>
            </w:r>
          </w:p>
        </w:tc>
        <w:tc>
          <w:tcPr>
            <w:tcW w:w="692" w:type="dxa"/>
            <w:tcBorders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Unclear</w:t>
            </w:r>
          </w:p>
        </w:tc>
        <w:tc>
          <w:tcPr>
            <w:tcW w:w="975" w:type="dxa"/>
            <w:tcBorders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Unclear</w:t>
            </w:r>
          </w:p>
        </w:tc>
      </w:tr>
      <w:tr w:rsidR="0037109B" w:rsidRPr="00CC49C9">
        <w:tc>
          <w:tcPr>
            <w:tcW w:w="1770" w:type="dxa"/>
            <w:tcBorders>
              <w:bottom w:val="single" w:sz="8" w:space="0" w:color="auto"/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numPr>
                <w:ilvl w:val="0"/>
                <w:numId w:val="11"/>
              </w:numPr>
              <w:tabs>
                <w:tab w:val="clear" w:pos="720"/>
                <w:tab w:val="left" w:pos="0"/>
              </w:tabs>
              <w:snapToGrid w:val="0"/>
              <w:ind w:left="0"/>
              <w:jc w:val="left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Was appropriate statistical analysis used?</w:t>
            </w:r>
          </w:p>
        </w:tc>
        <w:tc>
          <w:tcPr>
            <w:tcW w:w="783" w:type="dxa"/>
            <w:tcBorders>
              <w:bottom w:val="single" w:sz="8" w:space="0" w:color="auto"/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782" w:type="dxa"/>
            <w:tcBorders>
              <w:bottom w:val="single" w:sz="8" w:space="0" w:color="auto"/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07" w:type="dxa"/>
            <w:tcBorders>
              <w:bottom w:val="single" w:sz="8" w:space="0" w:color="auto"/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59" w:type="dxa"/>
            <w:tcBorders>
              <w:bottom w:val="single" w:sz="8" w:space="0" w:color="auto"/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59" w:type="dxa"/>
            <w:tcBorders>
              <w:bottom w:val="single" w:sz="8" w:space="0" w:color="auto"/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46" w:type="dxa"/>
            <w:tcBorders>
              <w:bottom w:val="single" w:sz="8" w:space="0" w:color="auto"/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98" w:type="dxa"/>
            <w:tcBorders>
              <w:bottom w:val="single" w:sz="8" w:space="0" w:color="auto"/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72" w:type="dxa"/>
            <w:tcBorders>
              <w:bottom w:val="single" w:sz="8" w:space="0" w:color="auto"/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794" w:type="dxa"/>
            <w:tcBorders>
              <w:bottom w:val="single" w:sz="8" w:space="0" w:color="auto"/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770" w:type="dxa"/>
            <w:tcBorders>
              <w:bottom w:val="single" w:sz="8" w:space="0" w:color="auto"/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07" w:type="dxa"/>
            <w:tcBorders>
              <w:bottom w:val="single" w:sz="8" w:space="0" w:color="auto"/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21" w:type="dxa"/>
            <w:tcBorders>
              <w:bottom w:val="single" w:sz="8" w:space="0" w:color="auto"/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20" w:type="dxa"/>
            <w:tcBorders>
              <w:bottom w:val="single" w:sz="8" w:space="0" w:color="auto"/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782" w:type="dxa"/>
            <w:tcBorders>
              <w:bottom w:val="single" w:sz="8" w:space="0" w:color="auto"/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898" w:type="dxa"/>
            <w:tcBorders>
              <w:bottom w:val="single" w:sz="8" w:space="0" w:color="auto"/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692" w:type="dxa"/>
            <w:tcBorders>
              <w:bottom w:val="single" w:sz="8" w:space="0" w:color="auto"/>
              <w:tl2br w:val="nil"/>
              <w:tr2bl w:val="nil"/>
            </w:tcBorders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  <w:tc>
          <w:tcPr>
            <w:tcW w:w="975" w:type="dxa"/>
            <w:tcBorders>
              <w:bottom w:val="single" w:sz="8" w:space="0" w:color="auto"/>
              <w:tl2br w:val="nil"/>
              <w:tr2bl w:val="nil"/>
            </w:tcBorders>
            <w:tcMar>
              <w:top w:w="76" w:type="dxa"/>
              <w:left w:w="108" w:type="dxa"/>
              <w:bottom w:w="76" w:type="dxa"/>
              <w:right w:w="108" w:type="dxa"/>
            </w:tcMar>
          </w:tcPr>
          <w:p w:rsidR="0037109B" w:rsidRDefault="00EF0DA7">
            <w:pPr>
              <w:widowControl/>
              <w:snapToGrid w:val="0"/>
              <w:jc w:val="center"/>
              <w:rPr>
                <w:rFonts w:ascii="Times New Roman" w:hAnsi="Times New Roman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13"/>
                <w:szCs w:val="13"/>
              </w:rPr>
              <w:t>Yes</w:t>
            </w:r>
          </w:p>
        </w:tc>
      </w:tr>
    </w:tbl>
    <w:p w:rsidR="0037109B" w:rsidRDefault="0037109B">
      <w:pPr>
        <w:rPr>
          <w:rFonts w:ascii="Times New Roman" w:hAnsi="Times New Roman"/>
        </w:rPr>
      </w:pPr>
    </w:p>
    <w:sectPr w:rsidR="0037109B" w:rsidSect="0037109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39AF" w:rsidRDefault="002139AF" w:rsidP="001B58B6">
      <w:r>
        <w:separator/>
      </w:r>
    </w:p>
  </w:endnote>
  <w:endnote w:type="continuationSeparator" w:id="1">
    <w:p w:rsidR="002139AF" w:rsidRDefault="002139AF" w:rsidP="001B58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39AF" w:rsidRDefault="002139AF" w:rsidP="001B58B6">
      <w:r>
        <w:separator/>
      </w:r>
    </w:p>
  </w:footnote>
  <w:footnote w:type="continuationSeparator" w:id="1">
    <w:p w:rsidR="002139AF" w:rsidRDefault="002139AF" w:rsidP="001B58B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C74B46"/>
    <w:multiLevelType w:val="multilevel"/>
    <w:tmpl w:val="0DC74B46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129C18A3"/>
    <w:multiLevelType w:val="multilevel"/>
    <w:tmpl w:val="129C18A3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14151DB2"/>
    <w:multiLevelType w:val="multilevel"/>
    <w:tmpl w:val="14151DB2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1BC05430"/>
    <w:multiLevelType w:val="multilevel"/>
    <w:tmpl w:val="1BC0543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>
    <w:nsid w:val="252C49DC"/>
    <w:multiLevelType w:val="multilevel"/>
    <w:tmpl w:val="252C49DC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>
    <w:nsid w:val="3A894D83"/>
    <w:multiLevelType w:val="multilevel"/>
    <w:tmpl w:val="3A894D83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6">
    <w:nsid w:val="3EEB1187"/>
    <w:multiLevelType w:val="multilevel"/>
    <w:tmpl w:val="3EEB1187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7">
    <w:nsid w:val="6A701485"/>
    <w:multiLevelType w:val="multilevel"/>
    <w:tmpl w:val="6A701485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6C990B1B"/>
    <w:multiLevelType w:val="multilevel"/>
    <w:tmpl w:val="6C990B1B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9">
    <w:nsid w:val="7D6F6CEA"/>
    <w:multiLevelType w:val="multilevel"/>
    <w:tmpl w:val="7D6F6CEA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0">
    <w:nsid w:val="7FFA79DA"/>
    <w:multiLevelType w:val="multilevel"/>
    <w:tmpl w:val="7FFA79DA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7"/>
  </w:num>
  <w:num w:numId="2">
    <w:abstractNumId w:val="10"/>
  </w:num>
  <w:num w:numId="3">
    <w:abstractNumId w:val="4"/>
  </w:num>
  <w:num w:numId="4">
    <w:abstractNumId w:val="3"/>
  </w:num>
  <w:num w:numId="5">
    <w:abstractNumId w:val="1"/>
  </w:num>
  <w:num w:numId="6">
    <w:abstractNumId w:val="6"/>
  </w:num>
  <w:num w:numId="7">
    <w:abstractNumId w:val="2"/>
  </w:num>
  <w:num w:numId="8">
    <w:abstractNumId w:val="9"/>
  </w:num>
  <w:num w:numId="9">
    <w:abstractNumId w:val="8"/>
  </w:num>
  <w:num w:numId="10">
    <w:abstractNumId w:val="0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07CD"/>
    <w:rsid w:val="00003E52"/>
    <w:rsid w:val="000D069E"/>
    <w:rsid w:val="001B238B"/>
    <w:rsid w:val="001B58B6"/>
    <w:rsid w:val="001B7C2B"/>
    <w:rsid w:val="002074B7"/>
    <w:rsid w:val="002139AF"/>
    <w:rsid w:val="002B7914"/>
    <w:rsid w:val="003329A1"/>
    <w:rsid w:val="003343E2"/>
    <w:rsid w:val="0037109B"/>
    <w:rsid w:val="004606EA"/>
    <w:rsid w:val="00462EFE"/>
    <w:rsid w:val="006178E6"/>
    <w:rsid w:val="006823E0"/>
    <w:rsid w:val="006D6122"/>
    <w:rsid w:val="00740039"/>
    <w:rsid w:val="00762D48"/>
    <w:rsid w:val="0077732A"/>
    <w:rsid w:val="007B194E"/>
    <w:rsid w:val="00967A1E"/>
    <w:rsid w:val="009A407F"/>
    <w:rsid w:val="009C79FD"/>
    <w:rsid w:val="00A068BD"/>
    <w:rsid w:val="00B37760"/>
    <w:rsid w:val="00BA661A"/>
    <w:rsid w:val="00C6664F"/>
    <w:rsid w:val="00C907CD"/>
    <w:rsid w:val="00CB5206"/>
    <w:rsid w:val="00CC49C9"/>
    <w:rsid w:val="00CD6D1C"/>
    <w:rsid w:val="00D153EF"/>
    <w:rsid w:val="00D21051"/>
    <w:rsid w:val="00DA20AD"/>
    <w:rsid w:val="00DB4587"/>
    <w:rsid w:val="00E22808"/>
    <w:rsid w:val="00E752A7"/>
    <w:rsid w:val="00EF0DA7"/>
    <w:rsid w:val="03C72930"/>
    <w:rsid w:val="04407552"/>
    <w:rsid w:val="05655D72"/>
    <w:rsid w:val="077F3035"/>
    <w:rsid w:val="085E4680"/>
    <w:rsid w:val="0A23157C"/>
    <w:rsid w:val="0B003B04"/>
    <w:rsid w:val="0BC62ED7"/>
    <w:rsid w:val="0C370384"/>
    <w:rsid w:val="0D325FDD"/>
    <w:rsid w:val="0D446A3C"/>
    <w:rsid w:val="0D5F77AD"/>
    <w:rsid w:val="10E266B2"/>
    <w:rsid w:val="116C5EAC"/>
    <w:rsid w:val="12776AB3"/>
    <w:rsid w:val="128C3F02"/>
    <w:rsid w:val="13F35CA6"/>
    <w:rsid w:val="13F641A8"/>
    <w:rsid w:val="18C3414C"/>
    <w:rsid w:val="1A650C44"/>
    <w:rsid w:val="1B7E27BB"/>
    <w:rsid w:val="1FBE76CF"/>
    <w:rsid w:val="210E26A9"/>
    <w:rsid w:val="22C734BA"/>
    <w:rsid w:val="22D4287B"/>
    <w:rsid w:val="22EC6AF6"/>
    <w:rsid w:val="276A4E96"/>
    <w:rsid w:val="2B3B2F8C"/>
    <w:rsid w:val="2B3F33A4"/>
    <w:rsid w:val="2C6F71CD"/>
    <w:rsid w:val="2F452A5A"/>
    <w:rsid w:val="32603847"/>
    <w:rsid w:val="349B2DB3"/>
    <w:rsid w:val="34C1079D"/>
    <w:rsid w:val="38D4123D"/>
    <w:rsid w:val="39D55D46"/>
    <w:rsid w:val="3B0667F2"/>
    <w:rsid w:val="3DBB41E1"/>
    <w:rsid w:val="42DC37E5"/>
    <w:rsid w:val="4B8A3C16"/>
    <w:rsid w:val="4EA53287"/>
    <w:rsid w:val="518015E1"/>
    <w:rsid w:val="536C409E"/>
    <w:rsid w:val="54F848CD"/>
    <w:rsid w:val="54FA335B"/>
    <w:rsid w:val="57B30D9C"/>
    <w:rsid w:val="580404B4"/>
    <w:rsid w:val="5883586A"/>
    <w:rsid w:val="5A6E73D7"/>
    <w:rsid w:val="5B8B78A5"/>
    <w:rsid w:val="5B9C5BF3"/>
    <w:rsid w:val="6B5D7D63"/>
    <w:rsid w:val="6BEA7399"/>
    <w:rsid w:val="6D9C47DC"/>
    <w:rsid w:val="6F6F6CA8"/>
    <w:rsid w:val="6F7D4991"/>
    <w:rsid w:val="72FB0F87"/>
    <w:rsid w:val="73275EB0"/>
    <w:rsid w:val="74D913BC"/>
    <w:rsid w:val="77056520"/>
    <w:rsid w:val="7A2431C4"/>
    <w:rsid w:val="7BA413EA"/>
    <w:rsid w:val="7F6C7F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7109B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37109B"/>
    <w:rPr>
      <w:sz w:val="18"/>
      <w:szCs w:val="18"/>
    </w:rPr>
  </w:style>
  <w:style w:type="paragraph" w:styleId="a4">
    <w:name w:val="footer"/>
    <w:basedOn w:val="a"/>
    <w:link w:val="Char0"/>
    <w:qFormat/>
    <w:rsid w:val="003710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rsid w:val="003710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qFormat/>
    <w:rsid w:val="0037109B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0">
    <w:name w:val="页脚 Char"/>
    <w:basedOn w:val="a0"/>
    <w:link w:val="a4"/>
    <w:rsid w:val="0037109B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37109B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456</Words>
  <Characters>2205</Characters>
  <Application>Microsoft Office Word</Application>
  <DocSecurity>0</DocSecurity>
  <Lines>18</Lines>
  <Paragraphs>5</Paragraphs>
  <ScaleCrop>false</ScaleCrop>
  <Company>P R C</Company>
  <LinksUpToDate>false</LinksUpToDate>
  <CharactersWithSpaces>2656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</dc:creator>
  <cp:lastModifiedBy>Administrator</cp:lastModifiedBy>
  <cp:revision>3</cp:revision>
  <dcterms:created xsi:type="dcterms:W3CDTF">2019-09-06T02:00:00Z</dcterms:created>
  <dcterms:modified xsi:type="dcterms:W3CDTF">2019-09-06T02:06:00Z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